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02" w:before="0"/>
        <w:ind w:firstLine="0" w:left="0" w:right="0"/>
        <w:rPr>
          <w:b w:val="0"/>
          <w:color w:val="1A1A1A"/>
          <w:sz w:val="36"/>
        </w:rPr>
      </w:pPr>
      <w:r>
        <w:rPr>
          <w:b w:val="0"/>
          <w:color w:val="1A1A1A"/>
          <w:sz w:val="36"/>
        </w:rPr>
        <w:t>Итоговое сочинение (изложение)</w:t>
      </w:r>
    </w:p>
    <w:p w14:paraId="02000000">
      <w:pPr>
        <w:spacing w:after="146" w:before="0"/>
        <w:ind w:firstLine="0" w:left="0" w:right="0"/>
      </w:pPr>
      <w:r>
        <w:rPr>
          <w:b w:val="1"/>
          <w:color w:val="2B2B2B"/>
          <w:spacing w:val="8"/>
          <w:sz w:val="36"/>
        </w:rPr>
        <w:t>Расписание проведения итогового сочинения (изложения)</w:t>
      </w:r>
      <w:r>
        <w:rPr>
          <w:b w:val="1"/>
          <w:spacing w:val="8"/>
        </w:rPr>
        <w:t xml:space="preserve">Основной срок </w:t>
      </w:r>
      <w:r>
        <w:t>7 декабря 2022 года</w:t>
      </w:r>
    </w:p>
    <w:p w14:paraId="03000000">
      <w:pPr>
        <w:spacing w:after="146" w:before="0"/>
        <w:ind w:firstLine="0" w:left="0" w:right="0"/>
      </w:pPr>
      <w:r>
        <w:rPr>
          <w:b w:val="1"/>
          <w:spacing w:val="8"/>
        </w:rPr>
        <w:t>Дополнительные сроки</w:t>
      </w:r>
      <w:r>
        <w:t>7 декабря 2022 года</w:t>
      </w:r>
    </w:p>
    <w:p w14:paraId="04000000">
      <w:pPr>
        <w:spacing w:after="146" w:before="0"/>
        <w:ind w:firstLine="0" w:left="0" w:right="0"/>
      </w:pPr>
      <w:r>
        <w:t>1 февраля 2023 года</w:t>
      </w:r>
      <w:r>
        <w:t>3 мая 2023 года</w:t>
      </w:r>
    </w:p>
    <w:p w14:paraId="05000000">
      <w:pPr>
        <w:spacing w:after="146" w:before="0"/>
        <w:ind w:firstLine="0" w:left="0" w:right="0"/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С 2022/23 учебного года изменены подходы к проведению итогового сочинения (изложения). Подробная информация размещена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 </w:t>
      </w:r>
      <w:r>
        <w:rPr>
          <w:rFonts w:ascii="Calibri" w:hAnsi="Calibri"/>
          <w:b w:val="0"/>
          <w:i w:val="0"/>
          <w:caps w:val="0"/>
          <w:strike w:val="0"/>
          <w:color w:val="0C7BCE"/>
          <w:spacing w:val="0"/>
          <w:sz w:val="23"/>
          <w:highlight w:val="white"/>
          <w:u/>
        </w:rPr>
        <w:fldChar w:fldCharType="begin"/>
      </w:r>
      <w:r>
        <w:rPr>
          <w:rFonts w:ascii="Calibri" w:hAnsi="Calibri"/>
          <w:b w:val="0"/>
          <w:i w:val="0"/>
          <w:caps w:val="0"/>
          <w:strike w:val="0"/>
          <w:color w:val="0C7BCE"/>
          <w:spacing w:val="0"/>
          <w:sz w:val="23"/>
          <w:highlight w:val="white"/>
          <w:u/>
        </w:rPr>
        <w:instrText>HYPERLINK "https://fipi.ru/itogovoe-sochinenie"</w:instrText>
      </w:r>
      <w:r>
        <w:rPr>
          <w:rFonts w:ascii="Calibri" w:hAnsi="Calibri"/>
          <w:b w:val="0"/>
          <w:i w:val="0"/>
          <w:caps w:val="0"/>
          <w:strike w:val="0"/>
          <w:color w:val="0C7BCE"/>
          <w:spacing w:val="0"/>
          <w:sz w:val="23"/>
          <w:highlight w:val="white"/>
          <w:u/>
        </w:rPr>
        <w:fldChar w:fldCharType="separate"/>
      </w:r>
      <w:r>
        <w:rPr>
          <w:rFonts w:ascii="Calibri" w:hAnsi="Calibri"/>
          <w:b w:val="0"/>
          <w:i w:val="0"/>
          <w:caps w:val="0"/>
          <w:strike w:val="0"/>
          <w:color w:val="0C7BCE"/>
          <w:spacing w:val="0"/>
          <w:sz w:val="23"/>
          <w:highlight w:val="white"/>
          <w:u/>
        </w:rPr>
        <w:t>на сайте ФГБНУ «ФИПИ»</w:t>
      </w:r>
      <w:r>
        <w:rPr>
          <w:rFonts w:ascii="Calibri" w:hAnsi="Calibri"/>
          <w:b w:val="0"/>
          <w:i w:val="0"/>
          <w:caps w:val="0"/>
          <w:strike w:val="0"/>
          <w:color w:val="0C7BCE"/>
          <w:spacing w:val="0"/>
          <w:sz w:val="23"/>
          <w:highlight w:val="white"/>
          <w:u/>
        </w:rPr>
        <w:fldChar w:fldCharType="end"/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.</w:t>
      </w:r>
      <w:r>
        <w:br/>
      </w:r>
    </w:p>
    <w:p w14:paraId="06000000">
      <w:pPr>
        <w:spacing w:after="146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2B2B2B"/>
          <w:spacing w:val="0"/>
          <w:sz w:val="36"/>
          <w:highlight w:val="white"/>
        </w:rPr>
      </w:pPr>
      <w:r>
        <w:rPr>
          <w:rFonts w:ascii="Calibri" w:hAnsi="Calibri"/>
          <w:b w:val="1"/>
          <w:i w:val="0"/>
          <w:caps w:val="0"/>
          <w:color w:val="2B2B2B"/>
          <w:spacing w:val="8"/>
          <w:sz w:val="36"/>
          <w:highlight w:val="white"/>
        </w:rPr>
        <w:t>УЧАСТНИКИ ИТОГОВОГО СОЧИНЕНИЯ (ИЗЛОЖЕНИЯ)</w:t>
      </w:r>
    </w:p>
    <w:p w14:paraId="07000000">
      <w:pPr>
        <w:spacing w:after="210" w:before="0"/>
        <w:ind w:firstLine="0" w:left="0" w:right="0"/>
        <w:rPr>
          <w:rFonts w:ascii="Calibri" w:hAnsi="Calibri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ИТОГОВОЕ СОЧИНЕНИЕ (ИЗЛОЖЕНИЕ) КАК УСЛОВИЕ ДОПУСКА К ГИА-11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 проводится для: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обучающихся XI (XII) классов;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лиц, обучавшихся по не имеющей государственной аккредитации образовательной программе среднего общего образования, а также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образовании);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обучающихся с ограниченными возможностями здоровья, детей-инвалидов и инвалидов по образовательным программам среднего общего образования.</w:t>
      </w:r>
    </w:p>
    <w:p w14:paraId="08000000">
      <w:pPr>
        <w:spacing w:after="210" w:before="0"/>
        <w:ind w:firstLine="0" w:left="0" w:right="0"/>
        <w:rPr>
          <w:rFonts w:ascii="Calibri" w:hAnsi="Calibri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ИТОГОВОЕ СОЧИНЕНИЕ В ЦЕЛЯХ ИСПОЛЬЗОВАНИЯ ЕГО РЕЗУЛЬТАТОВ ПРИ ПРИЕМЕ В ОБРАЗОВАТЕЛЬНЫЕ ОРГАНИЗАЦИИ ВЫСШЕГО ОБРАЗОВАНИЯ ПО ЖЕЛАНИЮ</w:t>
      </w: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 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также может проводиться для: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— для лиц, получивших документ об образовании, подтверждающий получение среднего (полного) общего образования, до 1 сентября 2013 года);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граждан, имеющих среднее общее образование, полученное в иностранных образовательных организациях;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лиц, обучающихся по образовательным программам среднего профессионального образования;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лиц, получающих среднее общее образование в иностранных образовательных организациях;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лиц, допущенных к ГИА-11 в предыдущие годы, но не прошедших ГИА-11 или получивших на ГИА-11 неудовлетворительные результаты более чем по одному обязательному учебному предмету, либо получивших повторно неудовлетворительный результат по одному из этих предметов на ГИА-11 в дополнительные сроки.</w:t>
      </w:r>
    </w:p>
    <w:p w14:paraId="09000000">
      <w:pPr>
        <w:spacing w:after="210" w:before="0"/>
        <w:ind w:firstLine="0" w:left="0" w:right="0"/>
        <w:rPr>
          <w:rFonts w:ascii="Calibri" w:hAnsi="Calibri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ИЗЛОЖЕНИЕ ВПРАВЕ ПИСАТЬ СЛЕДУЮЩИЕ КАТЕГОРИИ ЛИЦ: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обучающиеся XI (XII) классов с ограниченными возможностями здоровья;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лица, обучающиеся по не имеющей государственной аккредитации образовательной программе среднего общего образования, а также обучающиеся, получающие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образовании) с ограниченными возможностями здоровья;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дети-инвалиды и инвалиды;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14:paraId="0A000000">
      <w:pPr>
        <w:spacing w:after="210" w:before="0"/>
        <w:ind w:firstLine="0" w:left="0" w:right="0"/>
        <w:rPr>
          <w:rFonts w:ascii="Calibri" w:hAnsi="Calibri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ПОВТОРНО ДОПУСКАЮТСЯ К НАПИСАНИЮ ИТОГОВОГО СОЧИНЕНИЯ (ИЗЛОЖЕНИЯ) в дополнительные сроки в текущем учебном году: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получившие по итоговому сочинению (изложению) неудовлетворительный результат («незачет»);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удаленные с итогового сочинения (изложения) за нарушение требований, установленных пунктом 27 настоящего Порядка;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Обучающиеся, получившие неудовлетворительный результат («незачет») за итоговое сочинение (изложение),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расписанием проведения итогового сочинения (изложения).</w:t>
      </w:r>
    </w:p>
    <w:p w14:paraId="0B000000">
      <w:pPr>
        <w:spacing w:after="146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2B2B2B"/>
          <w:spacing w:val="0"/>
          <w:sz w:val="36"/>
          <w:highlight w:val="white"/>
        </w:rPr>
      </w:pPr>
      <w:r>
        <w:rPr>
          <w:rFonts w:ascii="Calibri" w:hAnsi="Calibri"/>
          <w:b w:val="1"/>
          <w:i w:val="0"/>
          <w:caps w:val="0"/>
          <w:color w:val="2B2B2B"/>
          <w:spacing w:val="8"/>
          <w:sz w:val="36"/>
          <w:highlight w:val="white"/>
        </w:rPr>
        <w:t>ПОРЯДОК ПОДАЧИ ЗАЯВЛЕНИЯ НА УЧАСТИЕ В ИТОГОВОМ СОЧИНЕНИИ (ИЗЛОЖЕНИИ)</w:t>
      </w:r>
    </w:p>
    <w:p w14:paraId="0C000000">
      <w:pPr>
        <w:spacing w:after="210" w:before="0"/>
        <w:ind w:firstLine="0" w:left="0" w:right="0"/>
        <w:rPr>
          <w:rFonts w:ascii="Calibri" w:hAnsi="Calibri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Для участия в итоговом сочинении (изложении) необходимо подать заявление и согласие на обработку персональных данных не позднее чем за две недели до начала проведения итогового сочинения (изложения):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14:paraId="0D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Продолжительность выполнения итогового сочинения (изложения) составляет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 </w:t>
      </w: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3 часа 55 минут (235 минут)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.</w:t>
      </w:r>
    </w:p>
    <w:p w14:paraId="0E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14:paraId="0F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 </w:t>
      </w: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1,5 часа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.</w:t>
      </w:r>
    </w:p>
    <w:p w14:paraId="10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органы исполнительной власти субъектов Российской Федерации, осуществляющие государственное управление в сфере образования, организуют проведение итогового сочинения (изложения) в условиях, учитывающих состояние их здоровья, особенности психофизического развития.</w:t>
      </w:r>
    </w:p>
    <w:p w14:paraId="11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14:paraId="12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14:paraId="13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Итоговое сочинение (изложение)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 </w:t>
      </w: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начинается в 10.00 по местному времени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.</w:t>
      </w:r>
    </w:p>
    <w:p w14:paraId="14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</w:t>
      </w:r>
      <w:r>
        <w:br/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и бланков записи (дополнительных бланков записи) находятся:</w:t>
      </w:r>
    </w:p>
    <w:p w14:paraId="15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ручка (гелевая или  капиллярная с чернилами черного цвета);</w:t>
      </w:r>
    </w:p>
    <w:p w14:paraId="16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документ, удостоверяющий личность;</w:t>
      </w:r>
    </w:p>
    <w:p w14:paraId="17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14:paraId="18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листы бумаги для черновиков, выданные по месту проведения итогового сочинения (изложения);</w:t>
      </w:r>
    </w:p>
    <w:p w14:paraId="19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лекарства и питание (при необходимости);</w:t>
      </w:r>
    </w:p>
    <w:p w14:paraId="1A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специальные технические средства (для участников итогового сочинения (изложения) с ограниченными возможностями здоровья, детей-инвалидов</w:t>
      </w:r>
      <w:r>
        <w:br/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и инвалидов) (при необходимости).</w:t>
      </w:r>
    </w:p>
    <w:p w14:paraId="1B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Участники итогового сочинения (изложения) выполняют итоговое сочинение (изложение) на черно-белых бланках регистрации и бланках записи (в том числе бланках записи, выданных дополнительно) формата А4.</w:t>
      </w:r>
    </w:p>
    <w:p w14:paraId="1C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В день проведения итогового сочинения (изложения) участникам итогового сочинения (изложения)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 </w:t>
      </w: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запрещается иметь при себе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 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14:paraId="1D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Участники итогового сочинения (изложения),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 </w:t>
      </w: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нарушившие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 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установленные требования,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 </w:t>
      </w: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удаляются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 </w:t>
      </w: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с итогового сочинения (изложения).</w:t>
      </w:r>
    </w:p>
    <w:p w14:paraId="1E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образовательной организации и (или) членами комиссии по проверке итогового сочинения (изложения) в месте, определенном органом исполнительной власти субъекта Российской Федерации, осуществляющим государственное управление в сфере образования, и завершается не позднее чем через семь календарных дней с даты проведения итогового сочинения (изложения).</w:t>
      </w:r>
    </w:p>
    <w:p w14:paraId="1F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Итоговые сочинения (изложения) оцениваются по системе «зачет» или «незачет» по критериям оценивания, разработанным Рособрнадзором.</w:t>
      </w:r>
    </w:p>
    <w:p w14:paraId="20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К проверке по критериям оценивания допускаются итоговые сочинения (изложения), соответствующие установленным требованиям.</w:t>
      </w:r>
    </w:p>
    <w:p w14:paraId="21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ТРЕБОВАНИЯ К СОЧИНЕНИЮ:</w:t>
      </w:r>
    </w:p>
    <w:p w14:paraId="22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Требование № 1. «Объем итогового сочинения (изложения)»</w:t>
      </w:r>
    </w:p>
    <w:p w14:paraId="23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Рекомендуемое количество слов – от 350.</w:t>
      </w:r>
    </w:p>
    <w:p w14:paraId="24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14:paraId="25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Требование № 2. «Самостоятельность написания итогового сочинения (изложения)»</w:t>
      </w:r>
    </w:p>
    <w:p w14:paraId="26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14:paraId="27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14:paraId="28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14:paraId="29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Итоговое сочинение, соответствующее установленным требованиям, оценивается по критериям:</w:t>
      </w:r>
    </w:p>
    <w:p w14:paraId="2A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1. «Соответствие теме»;</w:t>
      </w:r>
    </w:p>
    <w:p w14:paraId="2B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2. «Аргументация. Привлечение литературного материала»;</w:t>
      </w:r>
    </w:p>
    <w:p w14:paraId="2C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3. «Композиция и логика рассуждения»;</w:t>
      </w:r>
    </w:p>
    <w:p w14:paraId="2D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4. «Качество письменной речи»;</w:t>
      </w:r>
    </w:p>
    <w:p w14:paraId="2E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5. «Грамотность».</w:t>
      </w:r>
    </w:p>
    <w:p w14:paraId="2F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14:paraId="30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ТРЕБОВАНИЯ К ИЗЛОЖЕНИЮ:</w:t>
      </w:r>
    </w:p>
    <w:p w14:paraId="31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Требование № 1. «Объем итогового изложения»</w:t>
      </w:r>
    </w:p>
    <w:p w14:paraId="32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Рекомендуемое количество слов – 200.</w:t>
      </w:r>
    </w:p>
    <w:p w14:paraId="33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Максимальное количество слов в изложении не устанавливается: участник должен исходить из содержания исходного текста. Если в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14:paraId="34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1"/>
          <w:i w:val="0"/>
          <w:caps w:val="0"/>
          <w:color w:val="1A1A1A"/>
          <w:spacing w:val="8"/>
          <w:sz w:val="23"/>
          <w:highlight w:val="white"/>
        </w:rPr>
        <w:t>Требование № 2. «Самостоятельность написания итогового изложения»</w:t>
      </w:r>
    </w:p>
    <w:p w14:paraId="35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14:paraId="36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</w:t>
      </w:r>
    </w:p>
    <w:p w14:paraId="37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14:paraId="38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Итоговое изложение (подробное), соответствующее установленным требованиям, оценивается по критериям:</w:t>
      </w:r>
    </w:p>
    <w:p w14:paraId="39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1. «Содержание изложения»;</w:t>
      </w:r>
    </w:p>
    <w:p w14:paraId="3A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2. «Логичность изложения»;</w:t>
      </w:r>
    </w:p>
    <w:p w14:paraId="3B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3. «Использование элементов стиля исходного текста»;</w:t>
      </w:r>
    </w:p>
    <w:p w14:paraId="3C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4. «Качество письменной речи»;</w:t>
      </w:r>
    </w:p>
    <w:p w14:paraId="3D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5. «Грамотность».</w:t>
      </w:r>
    </w:p>
    <w:p w14:paraId="3E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14:paraId="3F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14:paraId="40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Результат итогового сочинения (изложения) как допуск к ГИА-11 действителен бессрочно.</w:t>
      </w:r>
    </w:p>
    <w:p w14:paraId="41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14:paraId="42000000">
      <w:pPr>
        <w:spacing w:after="210" w:before="0"/>
        <w:ind w:firstLine="0" w:left="0" w:right="0"/>
        <w:jc w:val="left"/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Calibri" w:hAnsi="Calibri"/>
          <w:b w:val="0"/>
          <w:i w:val="0"/>
          <w:caps w:val="0"/>
          <w:color w:val="1A1A1A"/>
          <w:spacing w:val="0"/>
          <w:sz w:val="23"/>
          <w:highlight w:val="white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14:paraId="43000000"/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2023-01-18T16:52:40Z</dcterms:modified>
</cp:coreProperties>
</file>